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sz w:val="36"/>
          <w:szCs w:val="36"/>
          <w:lang w:val="en-US" w:eastAsia="zh-CN"/>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bCs w:val="0"/>
          <w:sz w:val="48"/>
          <w:szCs w:val="48"/>
          <w:lang w:eastAsia="zh-CN"/>
        </w:rPr>
      </w:pPr>
      <w:bookmarkStart w:id="0" w:name="_GoBack"/>
      <w:r>
        <w:rPr>
          <w:rFonts w:hint="eastAsia" w:ascii="方正小标宋简体" w:hAnsi="方正小标宋简体" w:eastAsia="方正小标宋简体" w:cs="方正小标宋简体"/>
          <w:b/>
          <w:bCs w:val="0"/>
          <w:sz w:val="48"/>
          <w:szCs w:val="48"/>
          <w:lang w:eastAsia="zh-CN"/>
        </w:rPr>
        <w:t>和政县人民政府办公室</w:t>
      </w:r>
    </w:p>
    <w:p>
      <w:pPr>
        <w:jc w:val="center"/>
        <w:rPr>
          <w:rFonts w:hint="default" w:ascii="方正小标宋简体" w:hAnsi="方正小标宋简体" w:eastAsia="方正小标宋简体" w:cs="方正小标宋简体"/>
          <w:b/>
          <w:bCs w:val="0"/>
          <w:sz w:val="48"/>
          <w:szCs w:val="48"/>
          <w:lang w:val="en-US" w:eastAsia="zh-CN"/>
        </w:rPr>
      </w:pPr>
      <w:r>
        <w:rPr>
          <w:rFonts w:hint="eastAsia" w:ascii="方正小标宋简体" w:hAnsi="方正小标宋简体" w:eastAsia="方正小标宋简体" w:cs="方正小标宋简体"/>
          <w:b/>
          <w:bCs w:val="0"/>
          <w:sz w:val="48"/>
          <w:szCs w:val="48"/>
          <w:lang w:val="en-US" w:eastAsia="zh-CN"/>
        </w:rPr>
        <w:t>2022年部门（单位）整体支出绩效自评</w:t>
      </w:r>
    </w:p>
    <w:p>
      <w:pPr>
        <w:jc w:val="center"/>
        <w:rPr>
          <w:rFonts w:hint="eastAsia" w:ascii="方正小标宋简体" w:hAnsi="方正小标宋简体" w:eastAsia="方正小标宋简体" w:cs="方正小标宋简体"/>
          <w:b/>
          <w:bCs w:val="0"/>
          <w:sz w:val="48"/>
          <w:szCs w:val="48"/>
        </w:rPr>
      </w:pPr>
    </w:p>
    <w:bookmarkEnd w:id="0"/>
    <w:p>
      <w:pPr>
        <w:jc w:val="center"/>
        <w:rPr>
          <w:rFonts w:hint="eastAsia" w:ascii="方正小标宋简体" w:hAnsi="方正小标宋简体" w:eastAsia="方正小标宋简体" w:cs="方正小标宋简体"/>
          <w:b/>
          <w:bCs w:val="0"/>
          <w:sz w:val="48"/>
          <w:szCs w:val="48"/>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pStyle w:val="4"/>
        <w:rPr>
          <w:rFonts w:hint="eastAsia"/>
        </w:rPr>
      </w:pPr>
    </w:p>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b w:val="0"/>
          <w:bCs/>
          <w:sz w:val="36"/>
          <w:szCs w:val="36"/>
        </w:rPr>
      </w:pPr>
      <w:r>
        <w:rPr>
          <w:rFonts w:hint="eastAsia" w:ascii="宋体" w:hAnsi="宋体" w:eastAsia="宋体" w:cs="宋体"/>
          <w:b w:val="0"/>
          <w:bCs/>
          <w:sz w:val="36"/>
          <w:szCs w:val="36"/>
        </w:rPr>
        <w:t>20</w:t>
      </w:r>
      <w:r>
        <w:rPr>
          <w:rFonts w:hint="eastAsia" w:ascii="宋体" w:hAnsi="宋体" w:eastAsia="宋体" w:cs="宋体"/>
          <w:b w:val="0"/>
          <w:bCs/>
          <w:sz w:val="36"/>
          <w:szCs w:val="36"/>
          <w:lang w:val="en-US" w:eastAsia="zh-CN"/>
        </w:rPr>
        <w:t>22</w:t>
      </w:r>
      <w:r>
        <w:rPr>
          <w:rFonts w:hint="eastAsia" w:ascii="宋体" w:hAnsi="宋体" w:eastAsia="宋体" w:cs="宋体"/>
          <w:b w:val="0"/>
          <w:bCs/>
          <w:sz w:val="36"/>
          <w:szCs w:val="36"/>
        </w:rPr>
        <w:t>年部门整体支出绩效评价报告</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一、部门基本情况</w:t>
      </w:r>
      <w:r>
        <w:rPr>
          <w:rFonts w:hint="eastAsia" w:ascii="宋体" w:hAnsi="宋体" w:eastAsia="宋体" w:cs="宋体"/>
          <w:sz w:val="30"/>
          <w:szCs w:val="30"/>
          <w:lang w:val="en-US" w:eastAsia="zh-CN"/>
        </w:rPr>
        <w:tab/>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（一）部门概况;</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1、主要职能</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（1）负责处理县政府的日常事务和政务，承担县政府全体会议、常务会议、党组会议、县长办公会议和县政府领导召集的其他会议的准备和组织工作。</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（2）承担县政府和办公室上报下达的各类文电处理以及县政府领导重要报告、讲话的起草、审核、印发等工作。</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（3）负责安排县政府领导的公务活动及办公室的后勤财务工作，做好办公室内部的安全保卫工作。</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（4）加强政府服务职能，提高便民服务水平，做好政务服务大厅的运行管理工作；加大信息公开力度，加强网络舆情监管，推动政府系统信息化建设。</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（5）办理县政府领导交办的其他事项。</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（二）部门绩效目标;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部门整体支出绩效目标，是对包括部门基本支出和项目支出在内的整体决算支出的绩效评价，评价以项目支出为重点。</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部门决算及使用情况</w:t>
      </w:r>
      <w:r>
        <w:rPr>
          <w:rFonts w:hint="eastAsia" w:ascii="宋体" w:hAnsi="宋体" w:eastAsia="宋体" w:cs="宋体"/>
          <w:sz w:val="30"/>
          <w:szCs w:val="30"/>
          <w:lang w:val="en-US" w:eastAsia="zh-CN"/>
        </w:rPr>
        <w:tab/>
      </w:r>
      <w:r>
        <w:rPr>
          <w:rFonts w:hint="eastAsia" w:ascii="宋体" w:hAnsi="宋体" w:eastAsia="宋体" w:cs="宋体"/>
          <w:sz w:val="30"/>
          <w:szCs w:val="30"/>
          <w:lang w:val="en-US" w:eastAsia="zh-CN"/>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2022年度收入总计</w:t>
      </w:r>
      <w:r>
        <w:rPr>
          <w:rFonts w:hint="eastAsia" w:ascii="仿宋_GB2312" w:eastAsia="仿宋_GB2312" w:cs="Times New Roman"/>
          <w:sz w:val="32"/>
          <w:szCs w:val="32"/>
          <w:lang w:val="en-US" w:eastAsia="zh-CN"/>
        </w:rPr>
        <w:t>934.87万</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_GB2312" w:eastAsia="仿宋_GB2312" w:cs="Times New Roman"/>
          <w:sz w:val="32"/>
          <w:szCs w:val="32"/>
          <w:lang w:val="en-US" w:eastAsia="zh-CN"/>
        </w:rPr>
        <w:t>934.87万</w:t>
      </w:r>
      <w:r>
        <w:rPr>
          <w:rFonts w:hint="eastAsia" w:ascii="仿宋_GB2312" w:hAnsi="仿宋_GB2312" w:eastAsia="仿宋_GB2312" w:cs="仿宋_GB2312"/>
          <w:color w:val="000000"/>
          <w:spacing w:val="0"/>
          <w:w w:val="100"/>
          <w:position w:val="0"/>
          <w:sz w:val="32"/>
          <w:szCs w:val="32"/>
          <w:lang w:val="en-US" w:eastAsia="zh-CN"/>
        </w:rPr>
        <w:t>元，与2021年决算数相比，收入</w:t>
      </w:r>
      <w:r>
        <w:rPr>
          <w:rFonts w:hint="eastAsia" w:ascii="仿宋_GB2312" w:hAnsi="宋体" w:eastAsia="仿宋_GB2312" w:cs="Times New Roman"/>
          <w:sz w:val="32"/>
          <w:szCs w:val="32"/>
          <w:lang w:val="en-US" w:eastAsia="zh-CN"/>
        </w:rPr>
        <w:t>比上年拨款减少5</w:t>
      </w:r>
      <w:r>
        <w:rPr>
          <w:rFonts w:hint="eastAsia" w:ascii="仿宋_GB2312" w:eastAsia="仿宋_GB2312" w:cs="Times New Roman"/>
          <w:sz w:val="32"/>
          <w:szCs w:val="32"/>
          <w:lang w:val="en-US" w:eastAsia="zh-CN"/>
        </w:rPr>
        <w:t>.</w:t>
      </w:r>
      <w:r>
        <w:rPr>
          <w:rFonts w:hint="eastAsia" w:ascii="仿宋_GB2312" w:hAnsi="宋体" w:eastAsia="仿宋_GB2312" w:cs="Times New Roman"/>
          <w:sz w:val="32"/>
          <w:szCs w:val="32"/>
          <w:lang w:val="en-US" w:eastAsia="zh-CN"/>
        </w:rPr>
        <w:t>85</w:t>
      </w:r>
      <w:r>
        <w:rPr>
          <w:rFonts w:hint="eastAsia" w:ascii="仿宋_GB2312" w:eastAsia="仿宋_GB2312" w:cs="Times New Roman"/>
          <w:sz w:val="32"/>
          <w:szCs w:val="32"/>
          <w:lang w:val="en-US" w:eastAsia="zh-CN"/>
        </w:rPr>
        <w:t>万元</w:t>
      </w:r>
      <w:r>
        <w:rPr>
          <w:rFonts w:hint="eastAsia" w:ascii="仿宋_GB2312" w:hAnsi="宋体" w:eastAsia="仿宋_GB2312" w:cs="Times New Roman"/>
          <w:sz w:val="32"/>
          <w:szCs w:val="32"/>
          <w:lang w:val="en-US" w:eastAsia="zh-CN"/>
        </w:rPr>
        <w:t>元，减少2.4%</w:t>
      </w:r>
      <w:r>
        <w:rPr>
          <w:rFonts w:hint="eastAsia" w:ascii="仿宋_GB2312" w:hAnsi="仿宋_GB2312" w:eastAsia="仿宋_GB2312" w:cs="仿宋_GB2312"/>
          <w:color w:val="000000"/>
          <w:spacing w:val="0"/>
          <w:w w:val="100"/>
          <w:position w:val="0"/>
          <w:sz w:val="32"/>
          <w:szCs w:val="32"/>
          <w:lang w:val="en-US" w:eastAsia="zh-CN"/>
        </w:rPr>
        <w:t>，支出减少5.85元，减少2.4%。主要原因是人员经费、公用经费减少</w:t>
      </w:r>
      <w:r>
        <w:rPr>
          <w:rFonts w:hint="eastAsia" w:ascii="仿宋_GB2312" w:hAnsi="仿宋_GB2312" w:eastAsia="仿宋_GB2312" w:cs="仿宋_GB2312"/>
          <w:color w:val="000000"/>
          <w:spacing w:val="0"/>
          <w:w w:val="100"/>
          <w:position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本单位2022年度收入合计</w:t>
      </w:r>
      <w:r>
        <w:rPr>
          <w:rFonts w:hint="eastAsia" w:ascii="宋体" w:hAnsi="宋体" w:cs="宋体"/>
          <w:sz w:val="30"/>
          <w:szCs w:val="30"/>
          <w:lang w:val="en-US" w:eastAsia="zh-CN"/>
        </w:rPr>
        <w:t>934.87万</w:t>
      </w:r>
      <w:r>
        <w:rPr>
          <w:rFonts w:hint="eastAsia" w:ascii="宋体" w:hAnsi="宋体" w:eastAsia="宋体" w:cs="宋体"/>
          <w:sz w:val="30"/>
          <w:szCs w:val="30"/>
          <w:lang w:val="en-US" w:eastAsia="zh-CN"/>
        </w:rPr>
        <w:t>元，其中：财政拨款收入</w:t>
      </w:r>
      <w:r>
        <w:rPr>
          <w:rFonts w:hint="eastAsia" w:ascii="宋体" w:hAnsi="宋体" w:cs="宋体"/>
          <w:sz w:val="30"/>
          <w:szCs w:val="30"/>
          <w:lang w:val="en-US" w:eastAsia="zh-CN"/>
        </w:rPr>
        <w:t>934.87万</w:t>
      </w:r>
      <w:r>
        <w:rPr>
          <w:rFonts w:hint="eastAsia" w:ascii="宋体" w:hAnsi="宋体" w:eastAsia="宋体" w:cs="宋体"/>
          <w:sz w:val="30"/>
          <w:szCs w:val="30"/>
          <w:lang w:val="en-US" w:eastAsia="zh-CN"/>
        </w:rPr>
        <w:t>元，占100%;</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本单位2022年度支出合计</w:t>
      </w:r>
      <w:r>
        <w:rPr>
          <w:rFonts w:hint="eastAsia" w:ascii="宋体" w:hAnsi="宋体" w:cs="宋体"/>
          <w:sz w:val="30"/>
          <w:szCs w:val="30"/>
          <w:lang w:val="en-US" w:eastAsia="zh-CN"/>
        </w:rPr>
        <w:t>934.87万</w:t>
      </w:r>
      <w:r>
        <w:rPr>
          <w:rFonts w:hint="eastAsia" w:ascii="宋体" w:hAnsi="宋体" w:eastAsia="宋体" w:cs="宋体"/>
          <w:sz w:val="30"/>
          <w:szCs w:val="30"/>
          <w:lang w:val="en-US" w:eastAsia="zh-CN"/>
        </w:rPr>
        <w:t>元，其中：基本支出</w:t>
      </w:r>
      <w:r>
        <w:rPr>
          <w:rFonts w:hint="eastAsia" w:ascii="宋体" w:hAnsi="宋体" w:cs="宋体"/>
          <w:sz w:val="30"/>
          <w:szCs w:val="30"/>
          <w:lang w:val="en-US" w:eastAsia="zh-CN"/>
        </w:rPr>
        <w:t>934.87万</w:t>
      </w:r>
      <w:r>
        <w:rPr>
          <w:rFonts w:hint="eastAsia" w:ascii="宋体" w:hAnsi="宋体" w:eastAsia="宋体" w:cs="宋体"/>
          <w:sz w:val="30"/>
          <w:szCs w:val="30"/>
          <w:lang w:val="en-US" w:eastAsia="zh-CN"/>
        </w:rPr>
        <w:t>元，占100%；</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二、部门工作开展情况</w:t>
      </w:r>
      <w:r>
        <w:rPr>
          <w:rFonts w:hint="eastAsia" w:ascii="宋体" w:hAnsi="宋体" w:eastAsia="宋体" w:cs="宋体"/>
          <w:sz w:val="30"/>
          <w:szCs w:val="30"/>
          <w:lang w:val="en-US" w:eastAsia="zh-CN"/>
        </w:rPr>
        <w:tab/>
      </w:r>
      <w:r>
        <w:rPr>
          <w:rFonts w:hint="eastAsia" w:ascii="宋体" w:hAnsi="宋体" w:eastAsia="宋体" w:cs="宋体"/>
          <w:sz w:val="30"/>
          <w:szCs w:val="30"/>
          <w:lang w:val="en-US" w:eastAsia="zh-CN"/>
        </w:rPr>
        <w:t>;</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（一）持续强化学习教育，不断推动全面从严治党</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强化党建引领，推动工作落实。坚持把党建工作纳入首要工作任务,通过召开党组会议、支部“三会一课”认真研究部署，及时解决存在的问题,推进教育教学工作高效落实。领导班子严格落实全面从严治党主体责任,班子成员对分管领域党建工作和日常业务“两手抓”，及时开展跟踪问效，查摆问题，限期整改，夯实一岗双责,不断提升了党建工作水平。</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2、狠抓学习教育，全面提高综合素质。紧扣党史学习教育“学史明理，学史增信、学史崇德、学史力行”的总体要求，全面组织开展了党史学习教育活动。组织学习了党的二十大精神。同时，采取集中培训和</w:t>
      </w:r>
      <w:r>
        <w:rPr>
          <w:rFonts w:hint="eastAsia" w:ascii="宋体" w:hAnsi="宋体" w:cs="宋体"/>
          <w:sz w:val="30"/>
          <w:szCs w:val="30"/>
          <w:lang w:val="en-US" w:eastAsia="zh-CN"/>
        </w:rPr>
        <w:t>自</w:t>
      </w:r>
      <w:r>
        <w:rPr>
          <w:rFonts w:hint="eastAsia" w:ascii="宋体" w:hAnsi="宋体" w:eastAsia="宋体" w:cs="宋体"/>
          <w:sz w:val="30"/>
          <w:szCs w:val="30"/>
          <w:lang w:val="en-US" w:eastAsia="zh-CN"/>
        </w:rPr>
        <w:t>学的形式，认真组织干部职工学习了习近平法治思想和《</w:t>
      </w:r>
      <w:r>
        <w:rPr>
          <w:rFonts w:hint="eastAsia" w:ascii="宋体" w:hAnsi="宋体" w:cs="宋体"/>
          <w:sz w:val="30"/>
          <w:szCs w:val="30"/>
          <w:lang w:val="en-US" w:eastAsia="zh-CN"/>
        </w:rPr>
        <w:t>信访条例</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民法典</w:t>
      </w:r>
      <w:r>
        <w:rPr>
          <w:rFonts w:hint="eastAsia" w:ascii="宋体" w:hAnsi="宋体" w:eastAsia="宋体" w:cs="宋体"/>
          <w:sz w:val="30"/>
          <w:szCs w:val="30"/>
          <w:lang w:val="en-US" w:eastAsia="zh-CN"/>
        </w:rPr>
        <w:t>》等法律法规及党内法规知识，进一步提高了干部职工法治意识和</w:t>
      </w:r>
      <w:r>
        <w:rPr>
          <w:rFonts w:hint="eastAsia" w:ascii="宋体" w:hAnsi="宋体" w:cs="宋体"/>
          <w:sz w:val="30"/>
          <w:szCs w:val="30"/>
          <w:lang w:val="en-US" w:eastAsia="zh-CN"/>
        </w:rPr>
        <w:t>信访</w:t>
      </w:r>
      <w:r>
        <w:rPr>
          <w:rFonts w:hint="eastAsia" w:ascii="宋体" w:hAnsi="宋体" w:eastAsia="宋体" w:cs="宋体"/>
          <w:sz w:val="30"/>
          <w:szCs w:val="30"/>
          <w:lang w:val="en-US" w:eastAsia="zh-CN"/>
        </w:rPr>
        <w:t>能力。</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3、严格落实党风廉政</w:t>
      </w:r>
      <w:r>
        <w:rPr>
          <w:rFonts w:hint="eastAsia" w:ascii="宋体" w:hAnsi="宋体" w:cs="宋体"/>
          <w:sz w:val="30"/>
          <w:szCs w:val="30"/>
          <w:lang w:val="en-US" w:eastAsia="zh-CN"/>
        </w:rPr>
        <w:t>建设</w:t>
      </w:r>
      <w:r>
        <w:rPr>
          <w:rFonts w:hint="eastAsia" w:ascii="宋体" w:hAnsi="宋体" w:eastAsia="宋体" w:cs="宋体"/>
          <w:sz w:val="30"/>
          <w:szCs w:val="30"/>
          <w:lang w:val="en-US" w:eastAsia="zh-CN"/>
        </w:rPr>
        <w:t>责任制。一是狠抓班子建设。加强班子成员的日常学习教育，通过组织学习《</w:t>
      </w:r>
      <w:r>
        <w:rPr>
          <w:rFonts w:hint="eastAsia" w:ascii="宋体" w:hAnsi="宋体" w:cs="宋体"/>
          <w:sz w:val="30"/>
          <w:szCs w:val="30"/>
          <w:lang w:val="en-US" w:eastAsia="zh-CN"/>
        </w:rPr>
        <w:t>中国共产党章程</w:t>
      </w:r>
      <w:r>
        <w:rPr>
          <w:rFonts w:hint="eastAsia" w:ascii="宋体" w:hAnsi="宋体" w:eastAsia="宋体" w:cs="宋体"/>
          <w:sz w:val="30"/>
          <w:szCs w:val="30"/>
          <w:lang w:val="en-US" w:eastAsia="zh-CN"/>
        </w:rPr>
        <w:t>》《廉政准则》等党纪党规，进一步提高班子成员的自律意识和凝聚力。二是始终履行管党治党责任</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明确了党风廉政</w:t>
      </w:r>
      <w:r>
        <w:rPr>
          <w:rFonts w:hint="eastAsia" w:ascii="宋体" w:hAnsi="宋体" w:cs="宋体"/>
          <w:sz w:val="30"/>
          <w:szCs w:val="30"/>
          <w:lang w:val="en-US" w:eastAsia="zh-CN"/>
        </w:rPr>
        <w:t>建设</w:t>
      </w:r>
      <w:r>
        <w:rPr>
          <w:rFonts w:hint="eastAsia" w:ascii="宋体" w:hAnsi="宋体" w:eastAsia="宋体" w:cs="宋体"/>
          <w:sz w:val="30"/>
          <w:szCs w:val="30"/>
          <w:lang w:val="en-US" w:eastAsia="zh-CN"/>
        </w:rPr>
        <w:t>工作任务。单位一把手带头执行中央八项规定及实施细则，积极履行党风廉政建设第一责任，严守党的政治纪律和组织纪律，对党风廉政建设和全面从严治党工作做到亲自部署、亲自过问、亲自协调。其他班子成员认真履行“一岗双责”责任，抓好分管领域的工作，加强日常管理。通过狠抓党风廉政建设工作，有效防止了小毛病演变成大问题。2022年召开党风廉政专题会议4次，开展警示教育活动2次，单位主要领导和班子成员开展党风廉政约谈共2次，全年未发生干部违规违纪行为。三是强化“三重一大”决策事项监督机制。重大项目安排和大额资金使用等方面实行集体研究，形成了民主集中下的集体领导决策机制。四是狠抓意识形态工作。教育引导干部职工在思想上始终坚持、牢牢把握正确的政治方向，严守政治纪律和政治规矩，严守组织纪律和宣传纪律，自觉在思想上政治上行动上同以习近平同志为核心的党中央保持高度一致，坚决维护党中央权威和集中统一领导。</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二、部门整体绩效评价工作情况</w:t>
      </w:r>
      <w:r>
        <w:rPr>
          <w:rFonts w:hint="eastAsia" w:ascii="宋体" w:hAnsi="宋体" w:eastAsia="宋体" w:cs="宋体"/>
          <w:sz w:val="30"/>
          <w:szCs w:val="30"/>
        </w:rPr>
        <w:tab/>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（一）部门评价目的及依据;</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通过开展部门整体支出绩效评价，促使我单位从整体上提升决算绩效管理工作水平，强化支出责任,规范资金管理行为，提高财政资金使用效益，保障我单位更好地履行职责。</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lang w:eastAsia="zh-CN"/>
        </w:rPr>
        <w:t>（二）</w:t>
      </w:r>
      <w:r>
        <w:rPr>
          <w:rFonts w:hint="eastAsia" w:ascii="宋体" w:hAnsi="宋体" w:eastAsia="宋体" w:cs="宋体"/>
          <w:sz w:val="30"/>
          <w:szCs w:val="30"/>
        </w:rPr>
        <w:t>部门评价原则、评价方法;</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kern w:val="2"/>
          <w:sz w:val="30"/>
          <w:szCs w:val="30"/>
          <w:lang w:val="en-US" w:eastAsia="zh-CN" w:bidi="ar-SA"/>
        </w:rPr>
      </w:pPr>
      <w:r>
        <w:rPr>
          <w:rFonts w:hint="eastAsia" w:ascii="宋体" w:hAnsi="宋体" w:eastAsia="宋体" w:cs="宋体"/>
          <w:sz w:val="30"/>
          <w:szCs w:val="30"/>
          <w:lang w:val="en-US" w:eastAsia="zh-CN"/>
        </w:rPr>
        <w:t>通过对我单位的决算配置、决算执行情况、决算管理、职责履行、履职效益和新增财政支出、一般性支出、会议支出、办公经费支出、机构编制和工资管理、厉行节约保障措施等方面的</w:t>
      </w:r>
      <w:r>
        <w:rPr>
          <w:rFonts w:hint="eastAsia" w:ascii="宋体" w:hAnsi="宋体" w:eastAsia="宋体" w:cs="宋体"/>
          <w:kern w:val="2"/>
          <w:sz w:val="30"/>
          <w:szCs w:val="30"/>
          <w:lang w:val="en-US" w:eastAsia="zh-CN" w:bidi="ar-SA"/>
        </w:rPr>
        <w:t>执行情况进行了自评，形成评价结论。</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（三）数据采集方法及过程</w:t>
      </w:r>
      <w:r>
        <w:rPr>
          <w:rFonts w:hint="eastAsia" w:ascii="宋体" w:hAnsi="宋体" w:eastAsia="宋体" w:cs="宋体"/>
          <w:sz w:val="30"/>
          <w:szCs w:val="30"/>
          <w:lang w:val="en-US" w:eastAsia="zh-CN"/>
        </w:rPr>
        <w:tab/>
      </w:r>
      <w:r>
        <w:rPr>
          <w:rFonts w:hint="eastAsia" w:ascii="宋体" w:hAnsi="宋体" w:eastAsia="宋体" w:cs="宋体"/>
          <w:sz w:val="30"/>
          <w:szCs w:val="30"/>
          <w:lang w:val="en-US" w:eastAsia="zh-CN"/>
        </w:rPr>
        <w:t>;</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按照2022年度决算数据。</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（四）绩效评价实施过程</w:t>
      </w:r>
      <w:r>
        <w:rPr>
          <w:rFonts w:hint="eastAsia" w:ascii="宋体" w:hAnsi="宋体" w:eastAsia="宋体" w:cs="宋体"/>
          <w:sz w:val="30"/>
          <w:szCs w:val="30"/>
          <w:lang w:val="en-US" w:eastAsia="zh-CN"/>
        </w:rPr>
        <w:tab/>
      </w:r>
      <w:r>
        <w:rPr>
          <w:rFonts w:hint="eastAsia" w:ascii="宋体" w:hAnsi="宋体" w:eastAsia="宋体" w:cs="宋体"/>
          <w:sz w:val="30"/>
          <w:szCs w:val="30"/>
          <w:lang w:val="en-US" w:eastAsia="zh-CN"/>
        </w:rPr>
        <w:t>;</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从决算执行、决算管理、资产管理这三方面进行评价，包括决算完成率、决算调整率、支付进度率、结转结余率、公用经费控制率、政府采购执行率6个指标。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1．决算完成率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我单位2022年实际完成的决算</w:t>
      </w:r>
      <w:r>
        <w:rPr>
          <w:rFonts w:hint="eastAsia" w:ascii="宋体" w:hAnsi="宋体" w:cs="宋体"/>
          <w:sz w:val="30"/>
          <w:szCs w:val="30"/>
          <w:lang w:val="en-US" w:eastAsia="zh-CN"/>
        </w:rPr>
        <w:t>934.87</w:t>
      </w:r>
      <w:r>
        <w:rPr>
          <w:rFonts w:hint="eastAsia" w:ascii="宋体" w:hAnsi="宋体" w:eastAsia="宋体" w:cs="宋体"/>
          <w:sz w:val="30"/>
          <w:szCs w:val="30"/>
          <w:lang w:val="en-US" w:eastAsia="zh-CN"/>
        </w:rPr>
        <w:t>万元，占决算数100%。</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 支付进度率：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通过计算我单位决算执行的及时和均衡程度良好。</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3．结转结余率：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我单位2022年结转结余总额</w:t>
      </w:r>
      <w:r>
        <w:rPr>
          <w:rFonts w:hint="eastAsia" w:ascii="宋体" w:hAnsi="宋体" w:cs="宋体"/>
          <w:sz w:val="30"/>
          <w:szCs w:val="30"/>
          <w:lang w:val="en-US" w:eastAsia="zh-CN"/>
        </w:rPr>
        <w:t>0</w:t>
      </w:r>
      <w:r>
        <w:rPr>
          <w:rFonts w:hint="eastAsia" w:ascii="宋体" w:hAnsi="宋体" w:eastAsia="宋体" w:cs="宋体"/>
          <w:sz w:val="30"/>
          <w:szCs w:val="30"/>
          <w:lang w:val="en-US" w:eastAsia="zh-CN"/>
        </w:rPr>
        <w:t>万元。</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4．公用经费控制率：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我单位2022年实际支出的公用经费总额约</w:t>
      </w:r>
      <w:r>
        <w:rPr>
          <w:rFonts w:hint="eastAsia" w:ascii="宋体" w:hAnsi="宋体" w:cs="宋体"/>
          <w:sz w:val="30"/>
          <w:szCs w:val="30"/>
          <w:lang w:val="en-US" w:eastAsia="zh-CN"/>
        </w:rPr>
        <w:t>393.77万</w:t>
      </w:r>
      <w:r>
        <w:rPr>
          <w:rFonts w:hint="eastAsia" w:ascii="宋体" w:hAnsi="宋体" w:eastAsia="宋体" w:cs="宋体"/>
          <w:sz w:val="30"/>
          <w:szCs w:val="30"/>
          <w:lang w:val="en-US" w:eastAsia="zh-CN"/>
        </w:rPr>
        <w:t>元。公用经费控制率为100%。</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6．政府采购执行率：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政府采购执行率100%。</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7．资金使用合规性：</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我单位资金使用符合国家财经法规和财务管理制度规定以及有关部门资金管理办法的规定；资金的拨付有完整的审批过程和手续；项目的重大开支经过评估论证；符合部门决算批复的用途；不存在截留、挤占、挪用、虚列支出情况。</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8．决算信息公开性：</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我单位有按照政府信息公开有关规定按规定时限公开相关决算信息，符合决算管理的公开透明。</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9. 基础信息完善性：</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基本财务管理制度健全；基础数据信息和会计信息资料真实；基础数据信息和会计信息资料完整；基础数据信息和会计信息资料准确，我单位满足全部四项。</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10. 资产管理完整性：</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我单位资产保存完整；资产账务管理合规，帐实相符；资产有偿使用及处置收入及时足额上缴。</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11、固定资产利用率：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我单位固定资产利用率良好。</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（三）产出</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产出即资金投入的结果，通过项目实际完成率、项目质量达标率、活动关键指标达标率3个指标对部门履职情况进行评价。</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1．项目实际完成率：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项目实际完成情况良好。</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2．项目质量达标率：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我单位项目均已质量达标且项目决算均验收合格。</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3．活动关键指标达标率：</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我单位部门活动均已达到绩效目标评分标准。</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三、评价结论与绩效分析</w:t>
      </w:r>
      <w:r>
        <w:rPr>
          <w:rFonts w:hint="eastAsia" w:ascii="宋体" w:hAnsi="宋体" w:eastAsia="宋体" w:cs="宋体"/>
          <w:sz w:val="30"/>
          <w:szCs w:val="30"/>
          <w:lang w:val="en-US" w:eastAsia="zh-CN"/>
        </w:rPr>
        <w:tab/>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开展部门决算绩效管理工作核查评价，综合反映部门对决算绩效管理工作的重视程度和取得的成效。</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四、主要经验做法</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无</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五、存在的问题与建议</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（一）存在的问题;</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我单位需要提高决算实际完成率，加强结转结余资金的实际控制程度。</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（二）改进举措和建议;</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（一）规范账务处理，提高财务信息质量</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严格按照《会计法》、《政府财务制度》等规定执行财务核算，并结合实际情况，完整、准确地披露相关信息，尽可能地做到决算与决算相衔接。</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（二）完善管理制度，进一步加强资产管理</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进一步贯彻落实中央八项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（三）加强新行政单位会计制度和决算法学习培训</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加强《决算法》、《政府财务制度》等学习培训，规范部门决算收支核算，一是制定和完善基本支出、项目支出等各项支出标准，严格按项目和进度执行决算，增强决算的约束力和严肃性。二是落实决算执行分析，及时了解决算执行差异，合理调整、纠正决算执行偏差，切实提高部门决算收支管理水平。</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六、其他需说明的问题</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无</w:t>
      </w:r>
    </w:p>
    <w:p>
      <w:pPr>
        <w:keepNext w:val="0"/>
        <w:keepLines w:val="0"/>
        <w:pageBreakBefore w:val="0"/>
        <w:kinsoku/>
        <w:wordWrap/>
        <w:overflowPunct/>
        <w:topLinePunct w:val="0"/>
        <w:autoSpaceDE/>
        <w:autoSpaceDN/>
        <w:bidi w:val="0"/>
        <w:adjustRightInd/>
        <w:snapToGrid/>
        <w:spacing w:beforeAutospacing="0" w:line="24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附件：</w:t>
      </w:r>
      <w:r>
        <w:rPr>
          <w:rFonts w:hint="eastAsia" w:ascii="宋体" w:hAnsi="宋体" w:cs="宋体"/>
          <w:sz w:val="30"/>
          <w:szCs w:val="30"/>
          <w:lang w:val="en-US" w:eastAsia="zh-CN"/>
        </w:rPr>
        <w:t>和政县人民政府办公室</w:t>
      </w:r>
      <w:r>
        <w:rPr>
          <w:rFonts w:hint="eastAsia" w:ascii="宋体" w:hAnsi="宋体" w:eastAsia="宋体" w:cs="宋体"/>
          <w:sz w:val="30"/>
          <w:szCs w:val="30"/>
          <w:lang w:val="en-US" w:eastAsia="zh-CN"/>
        </w:rPr>
        <w:t>部门整体支出绩效评价表</w:t>
      </w:r>
    </w:p>
    <w:p>
      <w:pPr>
        <w:pStyle w:val="4"/>
        <w:rPr>
          <w:rFonts w:hint="eastAsia" w:ascii="宋体" w:hAnsi="宋体" w:eastAsia="宋体" w:cs="宋体"/>
          <w:sz w:val="30"/>
          <w:szCs w:val="30"/>
          <w:lang w:val="en-US" w:eastAsia="zh-CN"/>
        </w:rPr>
      </w:pPr>
    </w:p>
    <w:p>
      <w:pPr>
        <w:rPr>
          <w:rFonts w:hint="eastAsia" w:ascii="宋体" w:hAnsi="宋体" w:eastAsia="宋体" w:cs="宋体"/>
          <w:sz w:val="30"/>
          <w:szCs w:val="30"/>
          <w:lang w:val="en-US" w:eastAsia="zh-CN"/>
        </w:rPr>
      </w:pPr>
    </w:p>
    <w:tbl>
      <w:tblPr>
        <w:tblStyle w:val="5"/>
        <w:tblW w:w="94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1"/>
        <w:gridCol w:w="897"/>
        <w:gridCol w:w="889"/>
        <w:gridCol w:w="2545"/>
        <w:gridCol w:w="890"/>
        <w:gridCol w:w="727"/>
        <w:gridCol w:w="848"/>
        <w:gridCol w:w="285"/>
        <w:gridCol w:w="884"/>
        <w:gridCol w:w="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448" w:type="dxa"/>
            <w:gridSpan w:val="10"/>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b/>
                <w:bCs/>
                <w:i w:val="0"/>
                <w:iCs w:val="0"/>
                <w:color w:val="000000"/>
                <w:kern w:val="0"/>
                <w:sz w:val="32"/>
                <w:szCs w:val="32"/>
                <w:u w:val="none"/>
                <w:lang w:val="en-US" w:eastAsia="zh-CN" w:bidi="ar"/>
              </w:rPr>
              <w:t>和政县人民政府办公室</w:t>
            </w:r>
            <w:r>
              <w:rPr>
                <w:rFonts w:hint="eastAsia" w:ascii="宋体" w:hAnsi="宋体" w:eastAsia="宋体" w:cs="宋体"/>
                <w:b/>
                <w:bCs/>
                <w:i w:val="0"/>
                <w:iCs w:val="0"/>
                <w:color w:val="000000"/>
                <w:kern w:val="0"/>
                <w:sz w:val="32"/>
                <w:szCs w:val="32"/>
                <w:u w:val="none"/>
                <w:lang w:val="en-US" w:eastAsia="zh-CN" w:bidi="ar"/>
              </w:rPr>
              <w:t>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部门（单位）名称</w:t>
            </w:r>
          </w:p>
        </w:tc>
        <w:tc>
          <w:tcPr>
            <w:tcW w:w="864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和政县人民政府办公室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r>
              <w:rPr>
                <w:rFonts w:hint="eastAsia" w:ascii="宋体" w:hAnsi="宋体" w:eastAsia="宋体" w:cs="宋体"/>
                <w:b/>
                <w:bCs/>
                <w:i w:val="0"/>
                <w:iCs w:val="0"/>
                <w:color w:val="000000"/>
                <w:kern w:val="0"/>
                <w:sz w:val="16"/>
                <w:szCs w:val="16"/>
                <w:u w:val="none"/>
                <w:lang w:val="en-US" w:eastAsia="zh-CN" w:bidi="ar"/>
              </w:rPr>
              <w:t>部门（单位）整体支出</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（万元）</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b/>
                <w:bCs/>
                <w:i w:val="0"/>
                <w:iCs w:val="0"/>
                <w:color w:val="000000"/>
                <w:sz w:val="18"/>
                <w:szCs w:val="18"/>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年初预算数</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全年预算数（A）</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实际支出数（B）</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执行率（B/A）</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b/>
                <w:bCs/>
                <w:i w:val="0"/>
                <w:iCs w:val="0"/>
                <w:color w:val="000000"/>
                <w:sz w:val="16"/>
                <w:szCs w:val="16"/>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全年支出</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934.87</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934.87</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934.87</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r>
              <w:rPr>
                <w:rFonts w:hint="eastAsia" w:ascii="宋体" w:hAnsi="宋体" w:eastAsia="宋体" w:cs="宋体"/>
                <w:i w:val="0"/>
                <w:iCs w:val="0"/>
                <w:color w:val="000000"/>
                <w:sz w:val="18"/>
                <w:szCs w:val="18"/>
                <w:u w:val="none"/>
                <w:lang w:val="en-US" w:eastAsia="zh-CN"/>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b/>
                <w:bCs/>
                <w:i w:val="0"/>
                <w:iCs w:val="0"/>
                <w:color w:val="000000"/>
                <w:sz w:val="16"/>
                <w:szCs w:val="16"/>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其中：基本支出</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934.87</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934.87</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934.87</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100</w:t>
            </w:r>
            <w:r>
              <w:rPr>
                <w:rFonts w:hint="eastAsia" w:ascii="宋体" w:hAnsi="宋体" w:eastAsia="宋体" w:cs="宋体"/>
                <w:i w:val="0"/>
                <w:iCs w:val="0"/>
                <w:color w:val="000000"/>
                <w:sz w:val="18"/>
                <w:szCs w:val="18"/>
                <w:u w:val="none"/>
                <w:lang w:val="en-US" w:eastAsia="zh-CN"/>
              </w:rPr>
              <w:t>%</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b/>
                <w:bCs/>
                <w:i w:val="0"/>
                <w:iCs w:val="0"/>
                <w:color w:val="000000"/>
                <w:sz w:val="16"/>
                <w:szCs w:val="16"/>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其中：项目支出</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lang w:val="en-US"/>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8"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年度总体绩效目标完成情况</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任务名称</w:t>
            </w:r>
          </w:p>
        </w:tc>
        <w:tc>
          <w:tcPr>
            <w:tcW w:w="3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主要任务</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预算总金额（万元）</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实际任务完成情况</w:t>
            </w: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实际总金额（万元）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3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1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年度绩效指标完成情况</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年度指标值</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计量单位</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实际完成值</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分值（90）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得分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出</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545"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工资</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431.3</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86.57</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养老保险</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5.31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13.09</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医疗保险</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18.78</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5.31</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工伤保险</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0.81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0.</w:t>
            </w:r>
            <w:r>
              <w:rPr>
                <w:rFonts w:hint="eastAsia" w:ascii="宋体" w:hAnsi="宋体" w:cs="宋体"/>
                <w:i w:val="0"/>
                <w:iCs w:val="0"/>
                <w:color w:val="000000"/>
                <w:sz w:val="18"/>
                <w:szCs w:val="18"/>
                <w:u w:val="none"/>
                <w:lang w:val="en-US" w:eastAsia="zh-CN"/>
              </w:rPr>
              <w:t>3</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住房公积金</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30.82</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14.6</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办</w:t>
            </w:r>
            <w:r>
              <w:rPr>
                <w:rFonts w:hint="eastAsia" w:ascii="宋体" w:hAnsi="宋体" w:eastAsia="宋体" w:cs="宋体"/>
                <w:i w:val="0"/>
                <w:iCs w:val="0"/>
                <w:color w:val="000000"/>
                <w:sz w:val="18"/>
                <w:szCs w:val="18"/>
                <w:u w:val="none"/>
                <w:lang w:eastAsia="zh-CN"/>
              </w:rPr>
              <w:t>公费</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69.17</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20.79</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印刷费</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13.99</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0.069</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邮电费</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11.77</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0.79</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差旅费</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31.53</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20.24</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维修费</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95.93</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0.17</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900" w:firstLineChars="500"/>
              <w:jc w:val="both"/>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租赁费</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0.42</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720" w:firstLineChars="400"/>
              <w:jc w:val="both"/>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劳务费</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0.25</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0.06</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720" w:firstLineChars="400"/>
              <w:jc w:val="both"/>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其他支出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166.16</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万</w:t>
            </w:r>
            <w:r>
              <w:rPr>
                <w:rFonts w:hint="eastAsia" w:ascii="宋体" w:hAnsi="宋体" w:cs="宋体"/>
                <w:i w:val="0"/>
                <w:iCs w:val="0"/>
                <w:color w:val="000000"/>
                <w:sz w:val="18"/>
                <w:szCs w:val="18"/>
                <w:u w:val="none"/>
                <w:lang w:val="en-US" w:eastAsia="zh-CN"/>
              </w:rPr>
              <w:t>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10.01</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按月足额发放工资</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431.3</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116.4</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按月足额缴纳养老保险</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5.31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19.2</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按月足额缴纳医疗保险</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18.78</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7.9</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按月足额缴纳工伤保险</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0.81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r>
              <w:rPr>
                <w:rFonts w:hint="eastAsia" w:ascii="宋体" w:hAnsi="宋体" w:cs="宋体"/>
                <w:i w:val="0"/>
                <w:iCs w:val="0"/>
                <w:color w:val="000000"/>
                <w:sz w:val="18"/>
                <w:szCs w:val="18"/>
                <w:u w:val="none"/>
                <w:lang w:val="en-US" w:eastAsia="zh-CN"/>
              </w:rPr>
              <w:t>3</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按月足额缴纳大病保险</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0.</w:t>
            </w:r>
            <w:r>
              <w:rPr>
                <w:rFonts w:hint="eastAsia" w:ascii="宋体" w:hAnsi="宋体" w:cs="宋体"/>
                <w:i w:val="0"/>
                <w:iCs w:val="0"/>
                <w:color w:val="000000"/>
                <w:sz w:val="18"/>
                <w:szCs w:val="18"/>
                <w:u w:val="none"/>
                <w:lang w:val="en-US" w:eastAsia="zh-CN"/>
              </w:rPr>
              <w:t>2</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r>
              <w:rPr>
                <w:rFonts w:hint="eastAsia" w:ascii="宋体" w:hAnsi="宋体" w:cs="宋体"/>
                <w:i w:val="0"/>
                <w:iCs w:val="0"/>
                <w:color w:val="000000"/>
                <w:sz w:val="18"/>
                <w:szCs w:val="18"/>
                <w:u w:val="none"/>
                <w:lang w:val="en-US" w:eastAsia="zh-CN"/>
              </w:rPr>
              <w:t>2</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按月足额缴纳住房公积金</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30.82</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14.6</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公用经费实际支出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393.77</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经费支付率</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934.87</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完成时间</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年</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基本支出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934.87</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934.87</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项目支出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8"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益</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经济效益</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经费保障</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934.87</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934.87</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项目建设</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干部人数</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人</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0" w:firstLineChars="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60" w:firstLineChars="10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受助人数</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人</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60" w:firstLineChars="10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0" w:firstLineChars="10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生态效益</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0" w:firstLineChars="1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财政资金使用效益</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60" w:firstLineChars="100"/>
              <w:jc w:val="center"/>
              <w:rPr>
                <w:rFonts w:hint="eastAsia" w:ascii="宋体" w:hAnsi="宋体" w:eastAsia="宋体" w:cs="宋体"/>
                <w:i w:val="0"/>
                <w:iCs w:val="0"/>
                <w:color w:val="000000"/>
                <w:sz w:val="16"/>
                <w:szCs w:val="16"/>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5"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60" w:firstLineChars="100"/>
              <w:jc w:val="center"/>
              <w:rPr>
                <w:rFonts w:hint="eastAsia" w:ascii="宋体" w:hAnsi="宋体" w:eastAsia="宋体" w:cs="宋体"/>
                <w:i w:val="0"/>
                <w:iCs w:val="0"/>
                <w:color w:val="000000"/>
                <w:sz w:val="16"/>
                <w:szCs w:val="16"/>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0" w:firstLineChars="10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w:t>
            </w:r>
          </w:p>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0" w:firstLineChars="1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val="en-US" w:eastAsia="zh-CN"/>
              </w:rPr>
              <w:t>群众</w:t>
            </w:r>
            <w:r>
              <w:rPr>
                <w:rFonts w:hint="eastAsia" w:ascii="宋体" w:hAnsi="宋体" w:eastAsia="宋体" w:cs="宋体"/>
                <w:i w:val="0"/>
                <w:iCs w:val="0"/>
                <w:color w:val="000000"/>
                <w:sz w:val="18"/>
                <w:szCs w:val="18"/>
                <w:u w:val="none"/>
                <w:lang w:eastAsia="zh-CN"/>
              </w:rPr>
              <w:t>满意度</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61" w:firstLineChars="10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    计</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1" w:firstLineChars="10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1" w:firstLineChars="10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2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1" w:firstLineChars="10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1" w:firstLineChars="10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1" w:firstLineChars="10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1" w:firstLineChars="10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181" w:firstLineChars="10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0" w:firstLineChars="100"/>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line="240" w:lineRule="auto"/>
              <w:ind w:firstLine="181" w:firstLineChars="100"/>
              <w:jc w:val="center"/>
              <w:rPr>
                <w:rFonts w:hint="eastAsia" w:ascii="宋体" w:hAnsi="宋体" w:eastAsia="宋体" w:cs="宋体"/>
                <w:b/>
                <w:bCs/>
                <w:i w:val="0"/>
                <w:iCs w:val="0"/>
                <w:color w:val="000000"/>
                <w:sz w:val="18"/>
                <w:szCs w:val="18"/>
                <w:u w:val="none"/>
              </w:rPr>
            </w:pPr>
          </w:p>
        </w:tc>
      </w:tr>
    </w:tbl>
    <w:p>
      <w:pPr>
        <w:keepNext w:val="0"/>
        <w:keepLines w:val="0"/>
        <w:pageBreakBefore w:val="0"/>
        <w:tabs>
          <w:tab w:val="left" w:pos="720"/>
          <w:tab w:val="left" w:pos="3600"/>
        </w:tabs>
        <w:kinsoku/>
        <w:wordWrap/>
        <w:overflowPunct/>
        <w:topLinePunct w:val="0"/>
        <w:autoSpaceDE/>
        <w:autoSpaceDN/>
        <w:bidi w:val="0"/>
        <w:adjustRightInd/>
        <w:snapToGrid/>
        <w:spacing w:before="313" w:beforeLines="100" w:beforeAutospacing="0" w:line="240" w:lineRule="atLeast"/>
        <w:ind w:firstLine="640" w:firstLineChars="200"/>
        <w:jc w:val="center"/>
        <w:rPr>
          <w:rFonts w:hint="eastAsia" w:ascii="宋体" w:hAnsi="宋体" w:eastAsia="宋体" w:cs="宋体"/>
          <w:sz w:val="32"/>
          <w:szCs w:val="32"/>
          <w:lang w:eastAsia="zh-CN"/>
        </w:rPr>
      </w:pPr>
    </w:p>
    <w:p>
      <w:pPr>
        <w:jc w:val="center"/>
        <w:rPr>
          <w:rFonts w:hint="eastAsia"/>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MTU3M2EzYjBmNjFmNjZiZDdmYzFmMzU2MGU0NGMifQ=="/>
  </w:docVars>
  <w:rsids>
    <w:rsidRoot w:val="00000000"/>
    <w:rsid w:val="055B238A"/>
    <w:rsid w:val="05946D18"/>
    <w:rsid w:val="14335F71"/>
    <w:rsid w:val="15106E7D"/>
    <w:rsid w:val="1CEE4F99"/>
    <w:rsid w:val="1D4F1A4B"/>
    <w:rsid w:val="1E491E35"/>
    <w:rsid w:val="2B2551FB"/>
    <w:rsid w:val="2D6D5E5D"/>
    <w:rsid w:val="2EEB3269"/>
    <w:rsid w:val="2F834EB8"/>
    <w:rsid w:val="313A1C72"/>
    <w:rsid w:val="394836C2"/>
    <w:rsid w:val="3A1C41F4"/>
    <w:rsid w:val="3FE7420D"/>
    <w:rsid w:val="43100036"/>
    <w:rsid w:val="46DA63BE"/>
    <w:rsid w:val="4ED31911"/>
    <w:rsid w:val="4FB77512"/>
    <w:rsid w:val="50236E67"/>
    <w:rsid w:val="51474A6D"/>
    <w:rsid w:val="527F2DD0"/>
    <w:rsid w:val="56407DC0"/>
    <w:rsid w:val="61612384"/>
    <w:rsid w:val="63AD0BB2"/>
    <w:rsid w:val="72C97A6C"/>
    <w:rsid w:val="7C8E3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Normal (Web)"/>
    <w:basedOn w:val="1"/>
    <w:qFormat/>
    <w:uiPriority w:val="0"/>
    <w:rPr>
      <w:sz w:val="24"/>
    </w:rPr>
  </w:style>
  <w:style w:type="paragraph" w:styleId="4">
    <w:name w:val="index 1"/>
    <w:basedOn w:val="1"/>
    <w:next w:val="1"/>
    <w:qFormat/>
    <w:uiPriority w:val="0"/>
  </w:style>
  <w:style w:type="paragraph" w:customStyle="1" w:styleId="7">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3799</Words>
  <Characters>4195</Characters>
  <Lines>0</Lines>
  <Paragraphs>0</Paragraphs>
  <TotalTime>9</TotalTime>
  <ScaleCrop>false</ScaleCrop>
  <LinksUpToDate>false</LinksUpToDate>
  <CharactersWithSpaces>4227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2023-05-17T06:43:00Z</dcterms:created>
  <dc:creator>Administrator</dc:creator>
  <cp:lastModifiedBy>吾心</cp:lastModifiedBy>
  <cp:lastPrinted>2023-06-26T08:20:00Z</cp:lastPrinted>
  <dcterms:modified xsi:type="dcterms:W3CDTF">2023-11-28T02:32:26Z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3C862FFFD9C344CB97F90A74A5020A80_13</vt:lpwstr>
  </property>
</Properties>
</file>